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7C" w:rsidRDefault="00B83E7C" w:rsidP="00B83E7C">
      <w:pPr>
        <w:tabs>
          <w:tab w:val="left" w:pos="900"/>
        </w:tabs>
        <w:spacing w:after="0" w:line="240" w:lineRule="auto"/>
      </w:pPr>
      <w:r>
        <w:t>FoodQuestTQ LLC alleges that the U.S. Government</w:t>
      </w:r>
      <w:r w:rsidRPr="00131C0B">
        <w:t xml:space="preserve">, </w:t>
      </w:r>
      <w:r>
        <w:t xml:space="preserve">by negligence, intention or both, did, </w:t>
      </w:r>
      <w:r w:rsidRPr="00131C0B">
        <w:t>in fact, make unauthorized use of</w:t>
      </w:r>
      <w:r>
        <w:t xml:space="preserve"> and broadly disseminated the following</w:t>
      </w:r>
      <w:r w:rsidRPr="00131C0B">
        <w:t xml:space="preserve"> FoodQuestTQ trade secrets</w:t>
      </w:r>
      <w:r>
        <w:t xml:space="preserve"> developed by FoodQuestTQ as the company </w:t>
      </w:r>
      <w:r w:rsidRPr="00131C0B">
        <w:t>reduced their patented invention to practice across the agricult</w:t>
      </w:r>
      <w:r>
        <w:t xml:space="preserve">ure and food industry vertical that consisted of twenty (20) specific FoodQuestTQ ideas and methods. </w:t>
      </w:r>
    </w:p>
    <w:p w:rsidR="00B83E7C" w:rsidRDefault="00B83E7C" w:rsidP="00B83E7C">
      <w:pPr>
        <w:tabs>
          <w:tab w:val="left" w:pos="900"/>
        </w:tabs>
        <w:spacing w:after="0" w:line="240" w:lineRule="auto"/>
      </w:pPr>
    </w:p>
    <w:p w:rsidR="00B83E7C" w:rsidRPr="00A0069D" w:rsidRDefault="00B83E7C" w:rsidP="00B83E7C">
      <w:pPr>
        <w:pStyle w:val="ListParagraph"/>
        <w:tabs>
          <w:tab w:val="left" w:pos="0"/>
        </w:tabs>
        <w:spacing w:after="0" w:line="240" w:lineRule="auto"/>
        <w:ind w:left="0"/>
        <w:rPr>
          <w:u w:val="single"/>
        </w:rPr>
      </w:pPr>
      <w:r w:rsidRPr="00A0069D">
        <w:rPr>
          <w:u w:val="single"/>
        </w:rPr>
        <w:t xml:space="preserve">Listing of </w:t>
      </w:r>
      <w:r>
        <w:rPr>
          <w:u w:val="single"/>
        </w:rPr>
        <w:t>t</w:t>
      </w:r>
      <w:r w:rsidRPr="00A0069D">
        <w:rPr>
          <w:u w:val="single"/>
        </w:rPr>
        <w:t xml:space="preserve">wenty </w:t>
      </w:r>
      <w:r>
        <w:rPr>
          <w:u w:val="single"/>
        </w:rPr>
        <w:t>trade secrets d</w:t>
      </w:r>
      <w:r w:rsidRPr="00A0069D">
        <w:rPr>
          <w:u w:val="single"/>
        </w:rPr>
        <w:t>eveloped by FoodQuestTQ</w:t>
      </w:r>
      <w:r>
        <w:rPr>
          <w:u w:val="single"/>
        </w:rPr>
        <w:t xml:space="preserve"> LLC to r</w:t>
      </w:r>
      <w:r w:rsidRPr="00A0069D">
        <w:rPr>
          <w:u w:val="single"/>
        </w:rPr>
        <w:t>educe the</w:t>
      </w:r>
      <w:r>
        <w:rPr>
          <w:u w:val="single"/>
        </w:rPr>
        <w:t>ir invention to p</w:t>
      </w:r>
      <w:r w:rsidRPr="00A0069D">
        <w:rPr>
          <w:u w:val="single"/>
        </w:rPr>
        <w:t>ractice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1.</w:t>
      </w:r>
      <w:r>
        <w:tab/>
        <w:t>Threat continuum analysis including the elements and relationships between and among prevention, interdiction, communication and response; the Food and Drug Administration substitutes the term “intervention” for the FoodQuestTQ term interdiction.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2.</w:t>
      </w:r>
      <w:r>
        <w:tab/>
        <w:t xml:space="preserve">Identifying the indicators and warnings of impending food events; the food and Drug Administration substitutes the term “signals” for the FoodQuestTQ term of indicators and warnings. 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3.</w:t>
      </w:r>
      <w:r>
        <w:tab/>
        <w:t xml:space="preserve">Determining probability of occurrence to prioritize food vulnerability and risk. 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4.</w:t>
      </w:r>
      <w:r>
        <w:tab/>
        <w:t xml:space="preserve">The ideas and  methods for establishing “steps” and their associated taxonomy for identifying risks and implementing risk reduction measures;  the Food and Drug Administration uses the substitute term of “mitigation strategies” for the FoodQuestTQ term steps. 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5.</w:t>
      </w:r>
      <w:r>
        <w:tab/>
        <w:t>The use of “immersions”; the FDA uses the substitute terms “table top exercise”  for the   FoodQuestTQ term immersions; the Food and Drug Administration uses the substitute term “teachable moments”  for the FoodQuestTQ term lessons learned, and; the Food and Drug Administration uses the substitute term “scenarios” for the FoodQuestTQ term simulated events.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 xml:space="preserve"> 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6.</w:t>
      </w:r>
      <w:r>
        <w:tab/>
        <w:t>Identifying and prioritizing high risk areas in and along the food supply chain and in operating food facilities based on probability of occurrence; the Food and Drug Administration uses the substituted the term “high risk areas” for the FoodQuestTQ term hot spots.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 xml:space="preserve"> 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7.</w:t>
      </w:r>
      <w:r>
        <w:tab/>
        <w:t>Gathering, deconstructing and analyzing past and simulated food events to determine their probability of occurrence, lessons learned and to identify mitigating strategies.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8.</w:t>
      </w:r>
      <w:r>
        <w:tab/>
        <w:t xml:space="preserve">The ideas and methods for gathering, deconstructing and analyzing, as complex systems, food incidents and related data to identify high risk agents. 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 xml:space="preserve"> 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9.</w:t>
      </w:r>
      <w:r>
        <w:tab/>
        <w:t>Identifying types of information that should be collected and subjected to analysis in order to identify actionable intelligence to prevent food safety and food defense incidents.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10.</w:t>
      </w:r>
      <w:r>
        <w:tab/>
        <w:t xml:space="preserve">Using the holistic cradle to grave systems of systems science-based view of the food supply; the Food and Drug Administration uses the substitute terms “from field to fork” and “entire supply chain”.  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lastRenderedPageBreak/>
        <w:t>11.</w:t>
      </w:r>
      <w:r>
        <w:tab/>
        <w:t>Identifying risks and their associated risk reduction measures; the Food and Drug Administration uses the substitute the term “mitigation strategies” for the FoodQuestTQ term risk countermeasures.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12.</w:t>
      </w:r>
      <w:r>
        <w:tab/>
        <w:t xml:space="preserve">Use of the food protection systems model that subsumes both food safety and food defense. 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13.</w:t>
      </w:r>
      <w:r>
        <w:tab/>
        <w:t>Tying continuous operational performance with perpetual assessment and inspection; the Food and Drug Administration substitutes the term “inspectional strategies” for the FoodQuestTQ notion of continuous performance assessment.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14.</w:t>
      </w:r>
      <w:r>
        <w:tab/>
        <w:t xml:space="preserve">Determining performance and “best investments” to mitigate risk; the Food and Drug Administration uses the substitutes the term “mitigation strategies” for the FoodQuestTQ term best investments. 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15.</w:t>
      </w:r>
      <w:r>
        <w:tab/>
        <w:t>Integrally tying the use of specific information technology applications to food industry operational requirements, i.e., the development of operational computer automated tools that rely on the application of information technology.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 xml:space="preserve"> 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16.</w:t>
      </w:r>
      <w:r>
        <w:tab/>
        <w:t xml:space="preserve">Treating food protection as a science that relies on quantitative statistical methods for determining risk values. 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17.</w:t>
      </w:r>
      <w:r>
        <w:tab/>
        <w:t>Combining advanced modeling, science based analysis and advanced information technology to produce operational science and risk based software applications.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18.</w:t>
      </w:r>
      <w:r>
        <w:tab/>
        <w:t>Identifying critical nodes in a food protection system.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19.</w:t>
      </w:r>
      <w:r>
        <w:tab/>
        <w:t>Determining best response alternatives to food emergencies.</w:t>
      </w: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</w:p>
    <w:p w:rsidR="00B83E7C" w:rsidRDefault="00B83E7C" w:rsidP="00B83E7C">
      <w:pPr>
        <w:pStyle w:val="ListParagraph"/>
        <w:tabs>
          <w:tab w:val="left" w:pos="810"/>
        </w:tabs>
        <w:spacing w:after="0" w:line="240" w:lineRule="auto"/>
        <w:ind w:left="1170" w:hanging="360"/>
      </w:pPr>
      <w:r>
        <w:t>20.  Developing an automated: a) food safety risk management tool; b) a food defense plan builder tool; c) a food defense database of risk mitigating measures; and d) a food defense emergency response and exercise tool.</w:t>
      </w:r>
    </w:p>
    <w:p w:rsidR="00B83E7C" w:rsidRPr="00CF462A" w:rsidRDefault="00B83E7C" w:rsidP="00B83E7C">
      <w:pPr>
        <w:tabs>
          <w:tab w:val="left" w:pos="900"/>
        </w:tabs>
        <w:spacing w:after="0" w:line="240" w:lineRule="auto"/>
      </w:pPr>
    </w:p>
    <w:p w:rsidR="00B83E7C" w:rsidRDefault="00B83E7C" w:rsidP="00B83E7C">
      <w:pPr>
        <w:tabs>
          <w:tab w:val="left" w:pos="900"/>
        </w:tabs>
        <w:spacing w:after="0" w:line="240" w:lineRule="auto"/>
      </w:pPr>
      <w:r>
        <w:t xml:space="preserve">FoodQuestTQ LLC trade secrets included </w:t>
      </w:r>
      <w:r w:rsidRPr="00F749DD">
        <w:t>numerous written and copyrig</w:t>
      </w:r>
      <w:r>
        <w:t xml:space="preserve">hted expressions of the FoodQuestTQ LLC researcher’s ideas and methods </w:t>
      </w:r>
      <w:r w:rsidRPr="00F749DD">
        <w:t>that were</w:t>
      </w:r>
      <w:r>
        <w:t xml:space="preserve"> held as commercial trade secrets for the implementation of the patent prior to their unauthorized use and publication by the Food and Drug Administration (FDA). </w:t>
      </w:r>
      <w:r w:rsidRPr="00F749DD">
        <w:t xml:space="preserve"> </w:t>
      </w:r>
      <w:r w:rsidR="00ED2E3E" w:rsidRPr="00ED2E3E">
        <w:t xml:space="preserve">FoodQuestTQ LLC protected their trade secrets in the private sector through the use of non-disclosure and other written forms of confidentiality agreements.  </w:t>
      </w:r>
      <w:r w:rsidR="00ED2E3E">
        <w:t>FoodQuestTQ LLC generally relied on the confidentiality provisions of Title 18 U.S.C. in their dealings with the U.S. Government.</w:t>
      </w:r>
      <w:r w:rsidR="00ED2E3E" w:rsidRPr="00ED2E3E">
        <w:t xml:space="preserve"> </w:t>
      </w:r>
      <w:r>
        <w:t xml:space="preserve">These same </w:t>
      </w:r>
      <w:r w:rsidR="00ED2E3E">
        <w:t xml:space="preserve">FoodQuestTQ LLC </w:t>
      </w:r>
      <w:r>
        <w:t xml:space="preserve">trade secrets were described verbally </w:t>
      </w:r>
      <w:r w:rsidR="00ED2E3E">
        <w:t xml:space="preserve">to U.S. government employees </w:t>
      </w:r>
      <w:r>
        <w:t>with the cautionary warning that Title 18 U.S.C. confidentiality provisions applied.</w:t>
      </w:r>
      <w:r w:rsidRPr="00F749DD">
        <w:t xml:space="preserve"> </w:t>
      </w:r>
      <w:r>
        <w:t xml:space="preserve"> </w:t>
      </w:r>
      <w:r w:rsidRPr="00F749DD">
        <w:t>Copies of briefing materials</w:t>
      </w:r>
      <w:r>
        <w:t xml:space="preserve"> containing FoodQuestTQ LLC trade secrets were</w:t>
      </w:r>
      <w:r w:rsidRPr="00F749DD">
        <w:t xml:space="preserve"> </w:t>
      </w:r>
      <w:r>
        <w:t>all marked as containing proprietary information and</w:t>
      </w:r>
      <w:r w:rsidRPr="00F749DD">
        <w:t xml:space="preserve"> provide</w:t>
      </w:r>
      <w:r>
        <w:t>d to FDA</w:t>
      </w:r>
      <w:r w:rsidRPr="00F749DD">
        <w:t xml:space="preserve"> of</w:t>
      </w:r>
      <w:r>
        <w:t xml:space="preserve">ficials during these briefings. See </w:t>
      </w:r>
      <w:hyperlink r:id="rId5" w:history="1">
        <w:r w:rsidRPr="00C14280">
          <w:rPr>
            <w:rStyle w:val="Hyperlink"/>
          </w:rPr>
          <w:t>FBI Exhibit No.</w:t>
        </w:r>
        <w:r w:rsidR="00ED2E3E" w:rsidRPr="00C14280">
          <w:rPr>
            <w:rStyle w:val="Hyperlink"/>
          </w:rPr>
          <w:t xml:space="preserve"> 79 a.</w:t>
        </w:r>
      </w:hyperlink>
    </w:p>
    <w:p w:rsidR="00ED2E3E" w:rsidRDefault="00ED2E3E" w:rsidP="00ED2E3E">
      <w:pPr>
        <w:tabs>
          <w:tab w:val="left" w:pos="900"/>
        </w:tabs>
        <w:spacing w:after="0" w:line="240" w:lineRule="auto"/>
      </w:pPr>
    </w:p>
    <w:p w:rsidR="00B83E7C" w:rsidRDefault="00B83E7C" w:rsidP="00ED2E3E">
      <w:pPr>
        <w:tabs>
          <w:tab w:val="left" w:pos="900"/>
        </w:tabs>
        <w:spacing w:after="0" w:line="240" w:lineRule="auto"/>
      </w:pPr>
      <w:r w:rsidRPr="00F30B80">
        <w:t>In all meetings with the Food and Drug Administration, U.S. Government officials were specifically advised in the presence of good and reputable witnesses that the</w:t>
      </w:r>
      <w:r>
        <w:t xml:space="preserve"> materials being presented contained</w:t>
      </w:r>
      <w:r w:rsidRPr="00F30B80">
        <w:t xml:space="preserve"> FoodQuestTQ </w:t>
      </w:r>
      <w:r w:rsidR="00ED2E3E">
        <w:t xml:space="preserve">LLC </w:t>
      </w:r>
      <w:r>
        <w:t xml:space="preserve">trade secrets that were </w:t>
      </w:r>
      <w:r w:rsidRPr="00F30B80">
        <w:t>being shared wi</w:t>
      </w:r>
      <w:r>
        <w:t>th the U.S. Government under the provisions of Title 18 U.S.C</w:t>
      </w:r>
      <w:r w:rsidRPr="00F30B80">
        <w:t>.</w:t>
      </w:r>
      <w:r>
        <w:t xml:space="preserve"> </w:t>
      </w:r>
      <w:r w:rsidR="00ED2E3E">
        <w:t xml:space="preserve"> </w:t>
      </w:r>
      <w:r>
        <w:t>Subsequent to these meetings, t</w:t>
      </w:r>
      <w:r w:rsidR="00ED2E3E">
        <w:t xml:space="preserve">he FDA </w:t>
      </w:r>
      <w:r>
        <w:t xml:space="preserve">published and broadly disseminated on their </w:t>
      </w:r>
      <w:r>
        <w:lastRenderedPageBreak/>
        <w:t>officia</w:t>
      </w:r>
      <w:r w:rsidR="00ED2E3E">
        <w:t xml:space="preserve">l U.S. Government website their </w:t>
      </w:r>
      <w:r>
        <w:t xml:space="preserve">Food Defense Plan Builder computer automated risk management software tools that contained FoodQuestTQ trade secret information. </w:t>
      </w:r>
    </w:p>
    <w:p w:rsidR="00ED2E3E" w:rsidRDefault="00ED2E3E" w:rsidP="00ED2E3E">
      <w:pPr>
        <w:tabs>
          <w:tab w:val="left" w:pos="900"/>
        </w:tabs>
        <w:spacing w:after="0" w:line="240" w:lineRule="auto"/>
      </w:pPr>
    </w:p>
    <w:p w:rsidR="00B83E7C" w:rsidRDefault="00B22582" w:rsidP="00ED2E3E">
      <w:pPr>
        <w:tabs>
          <w:tab w:val="left" w:pos="900"/>
        </w:tabs>
        <w:spacing w:after="0" w:line="240" w:lineRule="auto"/>
      </w:pPr>
      <w:r>
        <w:t xml:space="preserve">During a meeting on October 2, 2012, </w:t>
      </w:r>
      <w:r w:rsidR="00B83E7C" w:rsidRPr="00C9706A">
        <w:t xml:space="preserve">the Food and Drug Administration </w:t>
      </w:r>
      <w:r w:rsidR="00ED2E3E">
        <w:t xml:space="preserve">(FDA) </w:t>
      </w:r>
      <w:r w:rsidR="00B83E7C">
        <w:t xml:space="preserve">was </w:t>
      </w:r>
      <w:r w:rsidR="00B83E7C" w:rsidRPr="00C9706A">
        <w:t xml:space="preserve">advised </w:t>
      </w:r>
      <w:r>
        <w:t xml:space="preserve">by FoodQuestTQ LLC </w:t>
      </w:r>
      <w:r w:rsidR="00B83E7C" w:rsidRPr="00C9706A">
        <w:t xml:space="preserve">that the </w:t>
      </w:r>
      <w:r w:rsidR="00B83E7C">
        <w:t>U.S Government was making unauthorized use of</w:t>
      </w:r>
      <w:r w:rsidR="00B83E7C" w:rsidRPr="00C9706A">
        <w:t xml:space="preserve"> FoodQuestTQ</w:t>
      </w:r>
      <w:r w:rsidR="00B83E7C">
        <w:t xml:space="preserve"> trade secrets.</w:t>
      </w:r>
      <w:r w:rsidR="00ED2E3E">
        <w:t xml:space="preserve"> See </w:t>
      </w:r>
      <w:hyperlink r:id="rId6" w:history="1">
        <w:r w:rsidR="00ED2E3E" w:rsidRPr="00C14280">
          <w:rPr>
            <w:rStyle w:val="Hyperlink"/>
          </w:rPr>
          <w:t>FBI Exhibit No. 79 b.</w:t>
        </w:r>
        <w:r w:rsidR="00B83E7C" w:rsidRPr="00C14280">
          <w:rPr>
            <w:rStyle w:val="Hyperlink"/>
          </w:rPr>
          <w:t xml:space="preserve"> </w:t>
        </w:r>
      </w:hyperlink>
      <w:r w:rsidR="00ED2E3E">
        <w:rPr>
          <w:color w:val="C00000"/>
        </w:rPr>
        <w:t xml:space="preserve"> </w:t>
      </w:r>
      <w:proofErr w:type="gramStart"/>
      <w:r w:rsidRPr="00B22582">
        <w:t>After</w:t>
      </w:r>
      <w:proofErr w:type="gramEnd"/>
      <w:r w:rsidRPr="00B22582">
        <w:t xml:space="preserve"> numerous letters to the </w:t>
      </w:r>
      <w:r w:rsidR="00ED2E3E" w:rsidRPr="00B22582">
        <w:t xml:space="preserve">FDA </w:t>
      </w:r>
      <w:r>
        <w:t xml:space="preserve">the U.S. Government </w:t>
      </w:r>
      <w:r w:rsidR="00B83E7C" w:rsidRPr="00B22582">
        <w:t xml:space="preserve">failed to cease and desist and continued to use and broadly publish FoodQuestTQ </w:t>
      </w:r>
      <w:r w:rsidR="00ED2E3E" w:rsidRPr="00B22582">
        <w:t xml:space="preserve">LLC </w:t>
      </w:r>
      <w:r w:rsidR="00B83E7C" w:rsidRPr="00B22582">
        <w:t xml:space="preserve">trade secrets as expressed </w:t>
      </w:r>
      <w:r w:rsidR="00B83E7C">
        <w:t xml:space="preserve">to U.S. Government officials </w:t>
      </w:r>
      <w:r w:rsidR="00B83E7C" w:rsidRPr="00C9706A">
        <w:t xml:space="preserve">in </w:t>
      </w:r>
      <w:r w:rsidR="00B83E7C">
        <w:t xml:space="preserve">the verbal, </w:t>
      </w:r>
      <w:r w:rsidR="00B83E7C" w:rsidRPr="00C9706A">
        <w:t xml:space="preserve">written and copyrighted expressions of FoodQuestTQ </w:t>
      </w:r>
      <w:r>
        <w:t xml:space="preserve">LLC </w:t>
      </w:r>
      <w:r w:rsidR="00B83E7C" w:rsidRPr="00C9706A">
        <w:t>patented and unpatented ideas</w:t>
      </w:r>
      <w:r w:rsidR="00ED2E3E">
        <w:t xml:space="preserve"> that included FoodQuestTQ LLC </w:t>
      </w:r>
      <w:r w:rsidR="00B83E7C">
        <w:t>trade secrets</w:t>
      </w:r>
      <w:r w:rsidR="00B83E7C" w:rsidRPr="00C9706A">
        <w:t xml:space="preserve">.  </w:t>
      </w:r>
      <w:r>
        <w:t xml:space="preserve">See </w:t>
      </w:r>
      <w:hyperlink r:id="rId7" w:history="1">
        <w:r w:rsidRPr="00C14280">
          <w:rPr>
            <w:rStyle w:val="Hyperlink"/>
          </w:rPr>
          <w:t>FBI Exhibit No. 79 c.</w:t>
        </w:r>
      </w:hyperlink>
    </w:p>
    <w:p w:rsidR="009C0BB1" w:rsidRDefault="009C0BB1" w:rsidP="009C0BB1">
      <w:pPr>
        <w:pStyle w:val="ListParagraph"/>
        <w:tabs>
          <w:tab w:val="left" w:pos="810"/>
        </w:tabs>
        <w:spacing w:after="0" w:line="240" w:lineRule="auto"/>
        <w:ind w:left="0"/>
      </w:pPr>
    </w:p>
    <w:p w:rsidR="00BE7330" w:rsidRDefault="00BE7330">
      <w:bookmarkStart w:id="0" w:name="_GoBack"/>
      <w:bookmarkEnd w:id="0"/>
    </w:p>
    <w:sectPr w:rsidR="00BE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E6470"/>
    <w:multiLevelType w:val="hybridMultilevel"/>
    <w:tmpl w:val="1D604DB8"/>
    <w:lvl w:ilvl="0" w:tplc="DAE40276">
      <w:start w:val="12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1"/>
    <w:rsid w:val="009C0BB1"/>
    <w:rsid w:val="00B22582"/>
    <w:rsid w:val="00B83E7C"/>
    <w:rsid w:val="00BE7330"/>
    <w:rsid w:val="00C14280"/>
    <w:rsid w:val="00E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A888A-E719-4138-90D8-B36C0EA7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B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BI%20Exhbit%20No.%2079%2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BI%20Exhibit%20No.%2079%20b..pdf" TargetMode="External"/><Relationship Id="rId5" Type="http://schemas.openxmlformats.org/officeDocument/2006/relationships/hyperlink" Target="FBI%20Exibit%20No.%2079%20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dcterms:created xsi:type="dcterms:W3CDTF">2014-09-03T19:38:00Z</dcterms:created>
  <dcterms:modified xsi:type="dcterms:W3CDTF">2014-09-12T22:07:00Z</dcterms:modified>
</cp:coreProperties>
</file>